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HanfSaatV 2024 — Mindestkeimfähigkeit</w:t>
      </w:r>
    </w:p>
    <w:p>
      <w:r>
        <w:rPr>
          <w:color w:val="555555"/>
          <w:sz w:val="18"/>
        </w:rPr>
        <w:t xml:space="preserve">Verordnung über besondere Anforderungen an Saatgut von Hanf im Rahmen der Saatgutanerkennung 2024</w:t>
      </w:r>
    </w:p>
    <w:p>
      <w:r>
        <w:rPr>
          <w:color w:val="555555"/>
          <w:sz w:val="18"/>
        </w:rPr>
        <w:t xml:space="preserve">Historische Fassung: Stand 05.05.2024 bis 01.09.2024. Dies ist nicht die aktuelle Fassung.</w:t>
      </w:r>
    </w:p>
    <w:p>
      <w:r>
        <w:t xml:space="preserve">(1) Abweichend von § 6 Satz 2 in Verbindung mit Anlage 3 Nummer 5.1.5 Spalte 3 der Saatgutverordnung in der Fassung der Bekanntmachung vom 8. Februar 2006 (BGBl. I S. 344), die zuletzt durch Artikel 1 der Verordnung vom 13. Juli 2022 (BGBl. I S. 1186) geändert worden ist, beträgt die Mindestkeimfähigkeit für Zertifiziertes Saatgut von Hanf der Sorten „Finola2“ und „Uso-31“ 64 vom Hundert der reinen Körner.</w:t>
      </w:r>
    </w:p>
    <w:p>
      <w:r>
        <w:t xml:space="preserve">(2) Saatgut, das nach den Anforderungen des Absatzes 1 anerkannt worden ist, darf bis zum Ablauf des 31. August 2024 in den Verkehr gebracht werden.</w:t>
      </w:r>
    </w:p>
    <w:p>
      <w:r>
        <w:rPr>
          <w:color w:val="555555"/>
          <w:sz w:val="17"/>
        </w:rPr>
        <w:t xml:space="preserve">Zitiervorschlag: § 1 HanfSaatV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https://recht.nulegal.eu/gesetze/HanfSaatV%202024/1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