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HanfEinfV — Ordnungswidrigkeiten</w:t>
      </w:r>
    </w:p>
    <w:p>
      <w:r>
        <w:rPr>
          <w:color w:val="555555"/>
          <w:sz w:val="18"/>
        </w:rPr>
        <w:t xml:space="preserve">Hanfeinfuhrverordnung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36 Abs. 3 Nr. 3 des Gesetzes zur Durchführung der Gemeinsamen Marktorganisationen und der Direktzahlungen handelt, wer vorsätzlich oder leichtfertig</w:t>
      </w:r>
    </w:p>
    <w:p>
      <w:pPr>
        <w:ind w:left="420"/>
      </w:pPr>
      <w:r>
        <w:t xml:space="preserve">1. entgegen § 4 Abs. 7 eine Lizenz nicht oder nicht rechtzeitig zurücksendet oder</w:t>
      </w:r>
    </w:p>
    <w:p>
      <w:pPr>
        <w:ind w:left="420"/>
      </w:pPr>
      <w:r>
        <w:t xml:space="preserve">2. entgegen § 7 Satz 1 eine Bescheinigung nicht oder nicht rechtzeitig vorlegt.</w:t>
      </w:r>
    </w:p>
    <w:p>
      <w:r>
        <w:rPr>
          <w:color w:val="555555"/>
          <w:sz w:val="17"/>
        </w:rPr>
        <w:t xml:space="preserve">Zitiervorschlag: § 9 HanfEinfV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https://recht.nulegal.eu/gesetze/HanfEinfV/9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