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HanfEinfV — Lizenz</w:t>
      </w:r>
    </w:p>
    <w:p>
      <w:r>
        <w:rPr>
          <w:color w:val="555555"/>
          <w:sz w:val="18"/>
        </w:rPr>
        <w:t xml:space="preserve">Hanfeinfuhrverordnung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(weggefallen)</w:t>
      </w:r>
    </w:p>
    <w:p>
      <w:r>
        <w:t xml:space="preserve">(2) (weggefallen)</w:t>
      </w:r>
    </w:p>
    <w:p>
      <w:r>
        <w:t xml:space="preserve">(3) Bei Rohhanf und bei zur Aussaat bestimmten Hanfsamen darf jede Einfuhrlizenz nur einmal zur Einfuhr verwendet werden.</w:t>
      </w:r>
    </w:p>
    <w:p>
      <w:r>
        <w:t xml:space="preserve">(4) Wird die Zulassung des Einführers nach § 3 entzogen, so verliert die Lizenz mit dem Entzug der Zulassung ihre Gültigkeit.</w:t>
      </w:r>
    </w:p>
    <w:p>
      <w:r>
        <w:t xml:space="preserve">(5) (weggefallen)</w:t>
      </w:r>
    </w:p>
    <w:p>
      <w:r>
        <w:t xml:space="preserve">(6) (weggefallen)</w:t>
      </w:r>
    </w:p>
    <w:p>
      <w:r>
        <w:t xml:space="preserve">(7) Die Lizenz ist von ihrem Inhaber innerhalb von sechzig Kalendertagen nach Ablauf ihrer Gültigkeit an die Bundesanstalt zurückzusenden.</w:t>
      </w:r>
    </w:p>
    <w:p>
      <w:r>
        <w:t xml:space="preserve">(8) Die Lizenz kann jederzeit widerrufen oder zurückgenommen werden, wenn die Zulassung des Einführers nach § 3 widerrufen wird oder Zweifel an der Richtigkeit der vom Lizenznehmer gemachten Angaben in der Lizenz bestehen.</w:t>
      </w:r>
    </w:p>
    <w:p>
      <w:r>
        <w:rPr>
          <w:color w:val="555555"/>
          <w:sz w:val="17"/>
        </w:rPr>
        <w:t xml:space="preserve">Zitiervorschlag: § 4 HanfEinfV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https://recht.nulegal.eu/gesetze/HanfEinfV/4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