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HanfEinfV — Inkrafttreten</w:t>
      </w:r>
    </w:p>
    <w:p>
      <w:r>
        <w:rPr>
          <w:color w:val="555555"/>
          <w:sz w:val="18"/>
        </w:rPr>
        <w:t xml:space="preserve">Hanfeinfuhrverordnung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10 HanfEinfV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https://recht.nulegal.eu/gesetze/HanfEinfV/10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