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HanfEinfV — Anwendungsbereich</w:t>
      </w:r>
    </w:p>
    <w:p>
      <w:r>
        <w:rPr>
          <w:color w:val="555555"/>
          <w:sz w:val="18"/>
        </w:rPr>
        <w:t xml:space="preserve">Hanfeinfuhrverordnung</w:t>
      </w:r>
    </w:p>
    <w:p>
      <w:r>
        <w:rPr>
          <w:color w:val="555555"/>
          <w:sz w:val="18"/>
        </w:rPr>
        <w:t xml:space="preserve">Stand: 10.06.2019 (konsolidierte Textfassung, kein amtliches Inkrafttretensdatum)</w:t>
      </w:r>
    </w:p>
    <w:p>
      <w:r>
        <w:t xml:space="preserve">Die Vorschriften dieser Verordnung gelten für die Durchführung der Rechtsakte der Europäischen Gemeinschaft oder der Europäischen Union hinsichtlich der Einfuhr von Hanf aus Drittländern im Rahmen der gemeinsamen Organisation der Agrarmärkte.</w:t>
      </w:r>
    </w:p>
    <w:p>
      <w:r>
        <w:rPr>
          <w:color w:val="555555"/>
          <w:sz w:val="17"/>
        </w:rPr>
        <w:t xml:space="preserve">Zitiervorschlag: § 1 HanfEinfV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https://recht.nulegal.eu/gesetze/HanfEinfV/1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