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HandzMstrV</w:t>
      </w:r>
    </w:p>
    <w:p>
      <w:r>
        <w:rPr>
          <w:color w:val="555555"/>
          <w:sz w:val="18"/>
        </w:rPr>
        <w:t xml:space="preserve">Handzuginstrumentenmachermeisterverordnung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gemäß Artikel 33 der Verordnung vom 21. September 1997 (BGBl. I S. 2390) geändert worden ist,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HandzMstrV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https://recht.nulegal.eu/gesetze/HandzMstrV/eingangsformel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