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HandzMstrV — Meisterprüfungsarbeit</w:t>
      </w:r>
    </w:p>
    <w:p>
      <w:r>
        <w:rPr>
          <w:color w:val="555555"/>
          <w:sz w:val="18"/>
        </w:rPr>
        <w:t xml:space="preserve">Handzuginstrumentenmachermeisterverordnung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ist eine der nachstehend genannten Arbeiten anzufertigen:</w:t>
      </w:r>
    </w:p>
    <w:p>
      <w:pPr>
        <w:ind w:left="420"/>
      </w:pPr>
      <w:r>
        <w:t xml:space="preserve">1. Bau eines lackierten oder mit Celluloid beschichteten und spielfertigen mindestens dreichörigen Akkordeons,</w:t>
      </w:r>
    </w:p>
    <w:p>
      <w:pPr>
        <w:ind w:left="420"/>
      </w:pPr>
      <w:r>
        <w:t xml:space="preserve">2. Bau einer lackierten oder mit Celluloid beschichteten und spielfertigen mindestens dreichörigen diatonischen Harmonika,</w:t>
      </w:r>
    </w:p>
    <w:p>
      <w:pPr>
        <w:ind w:left="420"/>
      </w:pPr>
      <w:r>
        <w:t xml:space="preserve">3. Bau eines lackierten oder mit Celluloid beschichteten und spielfertigen mindestens dreichörigen Bandonions,</w:t>
      </w:r>
    </w:p>
    <w:p>
      <w:pPr>
        <w:ind w:left="420"/>
      </w:pPr>
      <w:r>
        <w:t xml:space="preserve">4. Bau einer lackierten oder mit Celluloid beschichteten und spielfertigen mindestens dreichörigen Concertina.</w:t>
      </w:r>
    </w:p>
    <w:p>
      <w:r>
        <w:t xml:space="preserve">(2) Der Prüfling hat vor Anfertigung der Meisterprüfungsarbeit dem Meisterprüfungsausschuß eine technische Zeichnung, die Materialliste und die Vorkalkulation zur Genehmigung vorzulegen.</w:t>
      </w:r>
    </w:p>
    <w:p>
      <w:r>
        <w:t xml:space="preserve">(3) Mit der Meisterprüfungsarbeit sind die technische Zeichnung, die Materialliste, der Arbeitsbericht sowie die Vor- und Nachkalkulation vorzulegen.</w:t>
      </w:r>
    </w:p>
    <w:p>
      <w:r>
        <w:t xml:space="preserve">(4) Die technische Zeichnung, der Arbeitsbericht sowie die Vor- und Nachkalkulation sind bei der Bewertung der Meisterprüfungsarbeit zu berücksichtigen.</w:t>
      </w:r>
    </w:p>
    <w:p>
      <w:r>
        <w:rPr>
          <w:color w:val="555555"/>
          <w:sz w:val="17"/>
        </w:rPr>
        <w:t xml:space="preserve">Zitiervorschlag: § 3 HandzMstrV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https://recht.nulegal.eu/gesetze/HandzMstrV/3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