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HandwFWFortbPrV — Nachweis der berufs- und arbeitspädagogischen Qualifikationen</w:t>
      </w:r>
    </w:p>
    <w:p>
      <w:r>
        <w:rPr>
          <w:color w:val="555555"/>
          <w:sz w:val="18"/>
        </w:rPr>
        <w:t xml:space="preserve">Handwerksfachwirtfortbildungsprüfungsverordnung</w:t>
      </w:r>
    </w:p>
    <w:p>
      <w:r>
        <w:rPr>
          <w:color w:val="555555"/>
          <w:sz w:val="18"/>
        </w:rPr>
        <w:t xml:space="preserve">Historische Fassung: Stand 25.12.2019 bis 22.12.2020. Dies ist nicht die aktuelle Fassung.</w:t>
      </w:r>
    </w:p>
    <w:p>
      <w:r>
        <w:t xml:space="preserve">Den Erwerb der berufs- und arbeitspädagogischen Qualifikationen hat die zu prüfende Person nachzuweisen durch</w:t>
      </w:r>
    </w:p>
    <w:p>
      <w:pPr>
        <w:ind w:left="420"/>
      </w:pPr>
      <w:r>
        <w:t xml:space="preserve">1. eine erfolgreich abgelegte Prüfung nach den §§ 4 und 5 der Allgemeinen Meisterprüfungsverordnung in der jeweils geltenden Fassung,</w:t>
      </w:r>
    </w:p>
    <w:p>
      <w:pPr>
        <w:ind w:left="420"/>
      </w:pPr>
      <w:r>
        <w:t xml:space="preserve">2. eine erfolgreich abgelegte Prüfung nach § 4 der Ausbilder-Eignungsverordnung vom 21. Januar 2009 (BGBl. I S. 88) in der jeweils geltenden Fassung oder</w:t>
      </w:r>
    </w:p>
    <w:p>
      <w:pPr>
        <w:ind w:left="420"/>
      </w:pPr>
      <w:r>
        <w:t xml:space="preserve">3. eine andere erfolgreich abgelegte vergleichbare Prüfung vor einer öffentlichen oder staatlich anerkannten Bildungseinrichtung oder vor einem staatlichen Prüfungsausschuss.</w:t>
      </w:r>
    </w:p>
    <w:p>
      <w:r>
        <w:rPr>
          <w:color w:val="555555"/>
          <w:sz w:val="17"/>
        </w:rPr>
        <w:t xml:space="preserve">Zitiervorschlag: § 4 HandwFWFortbPrV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https://recht.nulegal.eu/gesetze/HandwFWFortbPrV/4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