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20 HandwFWFortbPrV — Inkrafttreten</w:t>
      </w:r>
    </w:p>
    <w:p>
      <w:r>
        <w:rPr>
          <w:color w:val="555555"/>
          <w:sz w:val="18"/>
        </w:rPr>
        <w:t xml:space="preserve">Handwerksfachwirtfortbildungsprüfungsverordnung</w:t>
      </w:r>
    </w:p>
    <w:p>
      <w:r>
        <w:rPr>
          <w:color w:val="555555"/>
          <w:sz w:val="18"/>
        </w:rPr>
        <w:t xml:space="preserve">Historische Fassung: Stand 25.12.2019 bis 22.12.2020. Dies ist nicht die aktuelle Fassung.</w:t>
      </w:r>
    </w:p>
    <w:p>
      <w:r>
        <w:t xml:space="preserve">Diese Verordnung tritt am 1. April 2016 in Kraft.</w:t>
      </w:r>
    </w:p>
    <w:p>
      <w:r>
        <w:rPr>
          <w:color w:val="555555"/>
          <w:sz w:val="17"/>
        </w:rPr>
        <w:t xml:space="preserve">Zitiervorschlag: § 20 HandwFWFortbPrV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https://recht.nulegal.eu/gesetze/HandwFWFortbPrV/20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