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HandwFWFortbPrV — Befreiung von einzelnen Prüfungsbestandteilen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Wird die zu prüfende Person nach § 42c Absatz 2 der Handwerksordnung von der Ablegung einzelner Prüfungsbestandteile befreit, bleiben diese Prüfungsbestandteile für die Anwendung der §§ 15 und 16 außer Betracht. Für die übrigen Prüfungsbestandteile erhöhen sich die Anteile nach § 15 Absatz 3 Satz 2 oder § 16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14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