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HaldeRlAnO — zu § 12 Abs. 3 vorstehender Anordnung Richtwerte für den Sicherheitsabstand (S)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a) Von der Haldenunterkante ergibt sich der Sicherheitsabstand in Abhängigkeit von der örtlichen Haldenhöhe (hö) und der Generalneigung (im Verhältnis von 1:n ausgedrückt) bzw. von der Höhe und Neigung einer Einzelböschung bei einem Einfallen der Auflagefläche bis 6 Grad in die Böschung oder aus der Böschung aus der Formel bis zu einem Verhältnis 1:n von 1:3</w:t>
      </w:r>
    </w:p>
    <w:p>
      <w:pPr>
        <w:ind w:left="1500"/>
      </w:pPr>
      <w:r>
        <w:t xml:space="preserve">S = hö x (2,1 - 0,7 n) in Meter,</w:t>
      </w:r>
    </w:p>
    <w:p>
      <w:pPr>
        <w:ind w:left="420"/>
      </w:pPr>
      <w:r>
        <w:t xml:space="preserve">mindestens jedoch 3 m.Bei einem Ansteigen der Haldenauflagefläche vor der Böschung sind die aus der Formel ermittelten Sicherheitsabstände wie folgt zu verringern:</w:t>
      </w:r>
    </w:p>
    <w:p>
      <w:r>
        <w:rPr>
          <w:rFonts w:ascii="Courier New" w:hAnsi="Courier New"/>
          <w:sz w:val="17"/>
        </w:rPr>
        <w:t xml:space="preserve">über 6 Grad bis 12 Grad um 10%</w:t>
      </w:r>
    </w:p>
    <w:p>
      <w:r>
        <w:rPr>
          <w:rFonts w:ascii="Courier New" w:hAnsi="Courier New"/>
          <w:sz w:val="17"/>
        </w:rPr>
        <w:t xml:space="preserve">über 12 Grad bis 20 Grad um 25%</w:t>
      </w:r>
    </w:p>
    <w:p>
      <w:pPr>
        <w:ind w:left="420"/>
      </w:pPr>
      <w:r>
        <w:t xml:space="preserve">Ergibt sich bei einem flachen Böschungssystem für die unterste Böschung ein größerer Wert als für das gesamte Böschungssystem, so ist dieser zu verwenden.</w:t>
      </w:r>
    </w:p>
    <w:p>
      <w:pPr>
        <w:ind w:left="420"/>
      </w:pPr>
      <w:r>
        <w:t xml:space="preserve">b) Von der Haldenoberkante beträgt der Sicherheitsabstand den 2fachen Wert, wie er sich aus der Formel unter Buchst. a ergibt, wobei anstelle der untersten Böschung die oberste zu berücksichtigen ist.</w:t>
      </w:r>
    </w:p>
    <w:p>
      <w:pPr>
        <w:ind w:left="420"/>
      </w:pPr>
      <w:r>
        <w:t xml:space="preserve">c) Von der Oberkante von Restlöchern im gewachsenen Lockergestein beträgt der Sicherheitsabstand den 1,5fachen Wert, wie er sich aus der Formel unter Buchst. a ergibt, wobei anstelle von hö die örtliche Restlochtiefe einzusetzen und anstelle der untersten Böschung die oberste zu berücksichtigen ist.</w:t>
      </w:r>
    </w:p>
    <w:p>
      <w:pPr>
        <w:ind w:left="420"/>
      </w:pPr>
      <w:r>
        <w:t xml:space="preserve">d) Von der Oberkante von Restlöchern im Festgestein beträgt der Sicherheitsabstand 1/3 der örtlichen Restlochtiefe, mindestens jedoch 3 m.</w:t>
      </w:r>
    </w:p>
    <w:p>
      <w:r>
        <w:rPr>
          <w:color w:val="555555"/>
          <w:sz w:val="17"/>
        </w:rPr>
        <w:t xml:space="preserve">Zitiervorschlag: Anlage 2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HaldeRlAnO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