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bleibender Einzelböschungen geplanter und betriebener Halden darf nicht größer als 10 m sein.</w:t>
      </w:r>
    </w:p>
    <w:p>
      <w:r>
        <w:t xml:space="preserve">(2) Die Neigung bleibender Einzelböschungen geplanter und betriebener Halden</w:t>
      </w:r>
    </w:p>
    <w:p>
      <w:pPr>
        <w:ind w:left="420"/>
      </w:pPr>
      <w:r>
        <w:t xml:space="preserve">a) bis 5 m Böschungshöhe darf dem Schüttwinkel entsprechen,</w:t>
      </w:r>
    </w:p>
    <w:p>
      <w:pPr>
        <w:ind w:left="420"/>
      </w:pPr>
      <w:r>
        <w:t xml:space="preserve">b) über 5 bis 10 m Böschungshöhe darf nicht steiler als 1:2 sein.</w:t>
      </w:r>
    </w:p>
    <w:p>
      <w:r>
        <w:t xml:space="preserve">(3) Die Generalneigung bleibender Böschungssysteme von geplanten und betriebenen Halden, die nicht zum Braunkohlenbergbau oder zu Steine-und-Erden-Betrieben gehören, darf bei einer örtlichen Haldenhöhe</w:t>
      </w:r>
    </w:p>
    <w:p>
      <w:r>
        <w:rPr>
          <w:rFonts w:ascii="Courier New" w:hAnsi="Courier New"/>
          <w:sz w:val="17"/>
        </w:rPr>
        <w:t xml:space="preserve">a)    bis 20 m    1:2,25</w:t>
      </w:r>
    </w:p>
    <w:p>
      <w:r>
        <w:rPr>
          <w:rFonts w:ascii="Courier New" w:hAnsi="Courier New"/>
          <w:sz w:val="17"/>
        </w:rPr>
        <w:t xml:space="preserve">b)    über 20 bis 35 m    1:2,5</w:t>
      </w:r>
    </w:p>
    <w:p>
      <w:r>
        <w:t xml:space="preserve">nicht übersteigen.</w:t>
      </w:r>
    </w:p>
    <w:p>
      <w:r>
        <w:t xml:space="preserve">(4) Die Absätze 1 bis 3 gelten nicht für Halden aus überwiegend grobstückigem, verwitterungsbeständigem Haldenmaterial oder solchem, das sich selbst verfestigt, wie Kalirückstände und flüssige Schlacken.</w:t>
      </w:r>
    </w:p>
    <w:p>
      <w:r>
        <w:t xml:space="preserve">(5) Bleibende Einzelböschungen geplanter und entstehender Restlöcher im Lockergestein, die nicht zum Braunkohlenbergbau oder zu Steine-und-Erden-Betrieben gehören, dürfen nicht steiler als 1:1,75 sein.</w:t>
      </w:r>
    </w:p>
    <w:p>
      <w:r>
        <w:t xml:space="preserve">(6) Füllen sich Restlöcher im Lockergestein mit Wasser, so sind bei bleibenden Böschungen Vorkehrungen zur Sicherung der Böschungen in der Wellenschlagzone zu treffen.</w:t>
      </w:r>
    </w:p>
    <w:p>
      <w:r>
        <w:t xml:space="preserve">(7) Von den Forderungen der Absätze 1 bis 3 sowie 5 und 6 darf abgewichen werden, wenn die Standsicherheit gemäß § 10 nachgewiesen und die Einhaltung des § 4 Abs. 1 gewährleistet ist.</w:t>
      </w:r>
    </w:p>
    <w:p>
      <w:r>
        <w:t xml:space="preserve">(8) Die Querneigung und Breite von Bermen zwischen bleibenden Einzelböschungen sind so zu wählen, daß sie für die Wasserableitung und erforderlichenfalls für ein Befahren mit Fahrzeugen geeignet sind.</w:t>
      </w:r>
    </w:p>
    <w:p>
      <w:r>
        <w:rPr>
          <w:color w:val="555555"/>
          <w:sz w:val="17"/>
        </w:rPr>
        <w:t xml:space="preserve">Zitiervorschlag: § 9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