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HaldeRlAnO</w:t>
      </w:r>
    </w:p>
    <w:p>
      <w:r>
        <w:rPr>
          <w:color w:val="555555"/>
          <w:sz w:val="18"/>
        </w:rPr>
        <w:t xml:space="preserve">Anordnung über Halden und Restlöcher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Betriebsleiter bzw. der Leiter des Organs hat der Bergbehörde Arbeiten oder Maßnahmen an</w:t>
      </w:r>
    </w:p>
    <w:p>
      <w:pPr>
        <w:ind w:left="420"/>
      </w:pPr>
      <w:r>
        <w:t xml:space="preserve">a) Bergbauhalden und Restlöchern von Betrieben gemäß § 2 Buchst. a,</w:t>
      </w:r>
    </w:p>
    <w:p>
      <w:pPr>
        <w:ind w:left="420"/>
      </w:pPr>
      <w:r>
        <w:t xml:space="preserve">b) klassifizierten Nichtbergbauhalden sowie</w:t>
      </w:r>
    </w:p>
    <w:p>
      <w:pPr>
        <w:ind w:left="420"/>
      </w:pPr>
      <w:r>
        <w:t xml:space="preserve">c) klassifizierten Althalden und -restlöchern</w:t>
      </w:r>
    </w:p>
    <w:p>
      <w:r>
        <w:t xml:space="preserve">anzuzeigen.</w:t>
      </w:r>
    </w:p>
    <w:p>
      <w:r>
        <w:t xml:space="preserve">(2) Zu den Arbeiten oder Maßnahmen gemäß Abs. 1 gehören bei</w:t>
      </w:r>
    </w:p>
    <w:p>
      <w:pPr>
        <w:ind w:left="420"/>
      </w:pPr>
      <w:r>
        <w:t xml:space="preserve">a) HaldenPlanung, Betreiben, Stillegung, Wiederinbetriebnahme (auch von unklassifizierten Halden, wenn im Endstand eine klassifizierte Halde erreicht werden soll), Entnahme von Haldenmaterial, Erreichen des vollständigen Abtrags,</w:t>
      </w:r>
    </w:p>
    <w:p>
      <w:pPr>
        <w:ind w:left="420"/>
      </w:pPr>
      <w:r>
        <w:t xml:space="preserve">b) RestlöchernPlanung, Herstellung, Stillegung (Zurücklassen), Beginn und Erreichen der vollständigen Verfüllung,</w:t>
      </w:r>
    </w:p>
    <w:p>
      <w:pPr>
        <w:ind w:left="420"/>
      </w:pPr>
      <w:r>
        <w:t xml:space="preserve">c) Halden und RestlöchernWechsel des Rechtsträgers, Nutzers oder Eigentümers, Änderung der Nutzungsart, Abschluß der Wiederurbarmachungsmaßnahmen.</w:t>
      </w:r>
    </w:p>
    <w:p>
      <w:r>
        <w:t xml:space="preserve">(3) Die Anzeigen sind spätestens 4 Wochen vorher, bei der Stillegung jedoch spätestens 8 Wochen vorher zu erstatten.</w:t>
      </w:r>
    </w:p>
    <w:p>
      <w:r>
        <w:t xml:space="preserve">(4) Sofern nicht in den Bestimmungen der Bergbausicherheit Forderungen an die Anzeige erhoben werden, haben diese außer den Arbeiten und Maßnahmen zu enthalten:</w:t>
      </w:r>
    </w:p>
    <w:p>
      <w:pPr>
        <w:ind w:left="420"/>
      </w:pPr>
      <w:r>
        <w:t xml:space="preserve">a) Angaben gemäß § 6 Abs. 2 und</w:t>
      </w:r>
    </w:p>
    <w:p>
      <w:pPr>
        <w:ind w:left="420"/>
      </w:pPr>
      <w:r>
        <w:t xml:space="preserve">b) Zeitpunkt und Ergebnis der Abstimmung mit dem örtlichen Staatsorgan.</w:t>
      </w:r>
    </w:p>
    <w:p>
      <w:r>
        <w:t xml:space="preserve">Der Bergbehörde sind auf Verlangen weitere Unterlagen insbesondere zu § 15 Abs. 2 Buchstaben i bis l einzureichen.</w:t>
      </w:r>
    </w:p>
    <w:p>
      <w:r>
        <w:t xml:space="preserve">(5) Die Bergbehörde erteilt entsprechend den Erfordernissen Verfügungen zu den angezeigten Arbeiten oder Maßnahmen.</w:t>
      </w:r>
    </w:p>
    <w:p>
      <w:r>
        <w:t xml:space="preserve">(6) Die Anzeige an die Bergbehörde entbindet nicht von Genehmigungen, Anzeigen und Bestätigungen auf Grund anderer Rechtsvorschriften, wie für Deponien zur schadlosen Beseitigung toxischer Abprodukte und anderer Schadstoffe *1), zur Gewährleistung des Strahlenschutzes bei der Lagerung und Verwendung radioaktiver Haldenmaterialien *2). ------- *1) Z.Z. gilt die Zweite Durchführungsbestimmung vom 21. April 1977 zur Sechsten Durchführungsverordnung zum Landeskulturgesetz - Schadlose Beseitigung toxischer Abprodukte und anderer Schadstoffe - (GBl. I Nr. 15 S. 161). *2) Z.Z. gilt die Erste Durchführungsbestimmung vom 26. November 1969 zur Strahlenschutzverordnung (GBl. II Nr. 99 S. 635).</w:t>
      </w:r>
    </w:p>
    <w:p>
      <w:r>
        <w:rPr>
          <w:color w:val="555555"/>
          <w:sz w:val="17"/>
        </w:rPr>
        <w:t xml:space="preserve">Zitiervorschlag: § 7 HaldeRlAnO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https://recht.nulegal.eu/gesetze/HaldeRlAnO/7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