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HaldeRlAnO</w:t>
      </w:r>
    </w:p>
    <w:p>
      <w:r>
        <w:rPr>
          <w:color w:val="555555"/>
          <w:sz w:val="18"/>
        </w:rPr>
        <w:t xml:space="preserve">Anordnung über Halden und Restlöcher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Betriebsleiter bzw. der Leiter des Organs hat Halden und Restlöcher dem Rat der zuständigen Gemeinde oder der Stadt bzw. des zuständigen Stadtbezirkes zwecks Dokumentation im bezirklichen Planungskataster anzuzeigen.</w:t>
      </w:r>
    </w:p>
    <w:p>
      <w:r>
        <w:t xml:space="preserve">(2) Die Anzeige hat die Angaben gemäß § 15 Abs. 2 Buchstaben a bis h zu enthalten, wie sie für die technische Dokumentation gefordert werden. Bei übersichtlichen Verhältnissen kann der Standort (Buchst. c) in einer Lageskizze dargestellt werden.</w:t>
      </w:r>
    </w:p>
    <w:p>
      <w:r>
        <w:rPr>
          <w:color w:val="555555"/>
          <w:sz w:val="17"/>
        </w:rPr>
        <w:t xml:space="preserve">Zitiervorschlag: § 6 HaldeRlAnO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https://recht.nulegal.eu/gesetze/HaldeRlAnO/6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