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HaldeRlAnO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Anordnung tritt am 1. Februar 1981 in Kraft.</w:t>
      </w:r>
    </w:p>
    <w:p>
      <w:r>
        <w:t xml:space="preserve">(2) Gleichzeitig treten außer Kraft:</w:t>
      </w:r>
    </w:p>
    <w:p>
      <w:pPr>
        <w:ind w:left="420"/>
      </w:pPr>
      <w:r>
        <w:t xml:space="preserve">a) Anordnung vom 2. April 1968 zur Gewährleistung der öffentlichen Sicherheit und zum Schutz der Volkswirtschaft an Halden und Restlöchern (GBl. II Nr. 38 S. 225),</w:t>
      </w:r>
    </w:p>
    <w:p>
      <w:pPr>
        <w:ind w:left="420"/>
      </w:pPr>
      <w:r>
        <w:t xml:space="preserve">b) § 21 der Anordnung vom 24. April 1974 über die Rechte, Pflichten und die Anerkennung von Sachverständigen der Obersten Bergbehörde - Sachverständigenanordnung - (GBl. I Nr. 23 S. 245).</w:t>
      </w:r>
    </w:p>
    <w:p>
      <w:r>
        <w:rPr>
          <w:color w:val="555555"/>
          <w:sz w:val="17"/>
        </w:rPr>
        <w:t xml:space="preserve">Zitiervorschlag: § 31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