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HaldeRlAnO — Wechsel des Rechtsträgers, Nutzers oder Eigentümers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Halden und Restlöcher sind bei Wechsel des Rechtsträgers, Nutzers oder Eigentümers in einem den Bestimmungen dieser Anordnung entsprechenden Zustand zu übergeben.</w:t>
      </w:r>
    </w:p>
    <w:p>
      <w:r>
        <w:t xml:space="preserve">(2) Dem Übernehmenden sind vom Übergebenden</w:t>
      </w:r>
    </w:p>
    <w:p>
      <w:pPr>
        <w:ind w:left="420"/>
      </w:pPr>
      <w:r>
        <w:t xml:space="preserve">a) vor der Übergabe einer Halde oder eines Restloches die künftig erforderlichen Kontrollen sowie Unterhaltungs- und Sicherungsmaßnahmen anzugeben und</w:t>
      </w:r>
    </w:p>
    <w:p>
      <w:pPr>
        <w:ind w:left="420"/>
      </w:pPr>
      <w:r>
        <w:t xml:space="preserve">b) beim Wechsel des Rechtsträgers, Nutzers oder Eigentümers die technische Dokumentation gemäß § 15 sowie weitere vorhandene Unterlagen für die Kontrolle, Unterhaltung und Sicherung der Halde oder des Restloches zu übergeben,</w:t>
      </w:r>
    </w:p>
    <w:p>
      <w:r>
        <w:t xml:space="preserve">wenn der Übernehmende für die Kontrolle, Unterhaltung und Sicherung die Verantwortung trägt.</w:t>
      </w:r>
    </w:p>
    <w:p>
      <w:r>
        <w:rPr>
          <w:color w:val="555555"/>
          <w:sz w:val="17"/>
        </w:rPr>
        <w:t xml:space="preserve">Zitiervorschlag: § 24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