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an Halden und Restlöchern Anzeichen erkannt, die auf eine von diesen für die öffentliche Sicherheit oder die Volkswirtschaft ausgehende Gefahr hinweisen, sind neben den im § 20 Abs. 1 genannten Maßnahmen weitere, wie teilweiser Haldenabtrag, Errichtung von Stützbauwerken, Umleitung von Verkehrswegen, organisatorisch soweit vorzubereiten, daß eine unverzügliche Bekämpfung der Gefahr bei deren Auftreten gewährleistet wird.</w:t>
      </w:r>
    </w:p>
    <w:p>
      <w:r>
        <w:t xml:space="preserve">(2) Die notwendigen Maßnahmen zur Bekämpfung der Gefahren an Halden und Restlöchern sind übersichtlich in einem Plan festzulegen. Dieser Plan ist mit dem Volkspolizei-Kreisamt, den Organen der Zivilverteidigung und je nach Art der Gefahr mit der Bergbehörde, der staatlichen Hygieneinspektion, den Organen der staatlichen Gewässeraufsicht und dem Staatlichen Amt für Atomsicherheit und Strahlenschutz abzustimmen.</w:t>
      </w:r>
    </w:p>
    <w:p>
      <w:r>
        <w:rPr>
          <w:color w:val="555555"/>
          <w:sz w:val="17"/>
        </w:rPr>
        <w:t xml:space="preserve">Zitiervorschlag: § 21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