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HaldeRlAnO</w:t>
      </w:r>
    </w:p>
    <w:p>
      <w:r>
        <w:rPr>
          <w:color w:val="555555"/>
          <w:sz w:val="18"/>
        </w:rPr>
        <w:t xml:space="preserve">Anordnung über Halden und Restlöcher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Anzeichen von Rutschungen in der Nähe von zu schützenden Objekten sind die Böschungen bzw. Böschungssysteme einschließlich der gefährdeten Bereiche oberhalb und unterhalb von Böschungen durch spezielle Überwachungsmaßnahmen zu kontrollieren.</w:t>
      </w:r>
    </w:p>
    <w:p>
      <w:r>
        <w:rPr>
          <w:color w:val="555555"/>
          <w:sz w:val="17"/>
        </w:rPr>
        <w:t xml:space="preserve">Zitiervorschlag: § 19 HaldeRlAnO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https://recht.nulegal.eu/gesetze/HaldeRlAnO/19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