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zeichnerischen Unterlagen, wie Lagepläne, Risse, sind wie folgt anzufertigen:</w:t>
      </w:r>
    </w:p>
    <w:p>
      <w:pPr>
        <w:ind w:left="420"/>
      </w:pPr>
      <w:r>
        <w:t xml:space="preserve">a) für Bergbauhalden von Betrieben und Organen gemäß § 2 Buchst. a nach den Bestimmungen über das bergmännische Rißwerk,</w:t>
      </w:r>
    </w:p>
    <w:p>
      <w:pPr>
        <w:ind w:left="420"/>
      </w:pPr>
      <w:r>
        <w:t xml:space="preserve">b) für Restlöcher von Betrieben und Organen gemäß § 2 Buchst. a nach den Bestimmungen über das bergmännische Rißwerk, sofern ein bergmännisches Rißwerk bei der Durchführung der Gewinnungsarbeiten geführt werden mußte,</w:t>
      </w:r>
    </w:p>
    <w:p>
      <w:pPr>
        <w:ind w:left="420"/>
      </w:pPr>
      <w:r>
        <w:t xml:space="preserve">c) für alle übrigen Halden und Restlöcher nach den Angaben in Anlage 3, sofern nicht die Bergbehörde höhere Anforderungen stellt oder Maßnahmen der Folgenutzung eine höhere Genauigkeit erfordern.</w:t>
      </w:r>
    </w:p>
    <w:p>
      <w:r>
        <w:t xml:space="preserve">(2) Zeichnerische Unterlagen betriebener Nichtbergbauhalden sind in Abständen von mindestens 3 Jahren nachzutragen, sofern nicht anders gefordert.</w:t>
      </w:r>
    </w:p>
    <w:p>
      <w:r>
        <w:t xml:space="preserve">(3) In den zeichnerischen Unterlagen sind ober- und unterirdisch zu schützende Objekte darzustellen, die sich</w:t>
      </w:r>
    </w:p>
    <w:p>
      <w:pPr>
        <w:ind w:left="420"/>
      </w:pPr>
      <w:r>
        <w:t xml:space="preserve">a) auf Halden und in Restlöchern und</w:t>
      </w:r>
    </w:p>
    <w:p>
      <w:pPr>
        <w:ind w:left="420"/>
      </w:pPr>
      <w:r>
        <w:t xml:space="preserve">b) in geringerer Entfernung von der Haldenunterkante bzw. Restlochoberkante als die</w:t>
      </w:r>
    </w:p>
    <w:p>
      <w:pPr>
        <w:ind w:left="780"/>
      </w:pPr>
      <w:r>
        <w:t xml:space="preserve">- 2fache örtliche Haldenhöhe,</w:t>
      </w:r>
    </w:p>
    <w:p>
      <w:pPr>
        <w:ind w:left="780"/>
      </w:pPr>
      <w:r>
        <w:t xml:space="preserve">- 3fache örtliche Restlochtiefe bei Böschungen im gekippten Lockergestein (bei Gefahr von Setzungsfließen bis zum natürlich gelagerten Lockergestein, maximal 10fache örtliche Restlochtiefe),</w:t>
      </w:r>
    </w:p>
    <w:p>
      <w:pPr>
        <w:ind w:left="780"/>
      </w:pPr>
      <w:r>
        <w:t xml:space="preserve">- 2fache örtliche Restlochtiefe bei Böschungen im natürlich gelagerten Lockergestein,</w:t>
      </w:r>
    </w:p>
    <w:p>
      <w:pPr>
        <w:ind w:left="780"/>
      </w:pPr>
      <w:r>
        <w:t xml:space="preserve">- 1,5fache örtliche Restlochtiefe im Festgestein</w:t>
      </w:r>
    </w:p>
    <w:p>
      <w:r>
        <w:t xml:space="preserve">befinden.</w:t>
      </w:r>
    </w:p>
    <w:p>
      <w:r>
        <w:rPr>
          <w:color w:val="555555"/>
          <w:sz w:val="17"/>
        </w:rPr>
        <w:t xml:space="preserve">Zitiervorschlag: § 16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