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HaldeRlAnO — Sicherheitsabstand</w:t>
      </w:r>
    </w:p>
    <w:p>
      <w:r>
        <w:rPr>
          <w:color w:val="555555"/>
          <w:sz w:val="18"/>
        </w:rPr>
        <w:t xml:space="preserve">Anordnung über Halden und Restlöcher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Sicherheitsabstand (S)</w:t>
      </w:r>
    </w:p>
    <w:p>
      <w:pPr>
        <w:ind w:left="420"/>
      </w:pPr>
      <w:r>
        <w:t xml:space="preserve">a) der Unterkante bleibender Einzelböschungen und bleibender Böschungssysteme einer geplanten oder betriebenen Halde bzw. der Oberkante eines geplanten oder entstehenden Restloches von zu schützenden Objekten oder</w:t>
      </w:r>
    </w:p>
    <w:p>
      <w:pPr>
        <w:ind w:left="420"/>
      </w:pPr>
      <w:r>
        <w:t xml:space="preserve">b) geplanter zu schützender Objekte von der Ober- bzw. Unterkante bleibender Einzelböschungen und bleibender Böschungssysteme einer stillgelegten Halde oder eines Restloches</w:t>
      </w:r>
    </w:p>
    <w:p>
      <w:r>
        <w:t xml:space="preserve">ist so zu bemessen, daß diese Objekte nicht gefährdet werden.</w:t>
      </w:r>
    </w:p>
    <w:p>
      <w:r>
        <w:t xml:space="preserve">(2) In Standsicherheitsnachweisen oder Standsicherheitseinschätzungen für Böschungen und Böschungssysteme sind Aussagen zum Sicherheitsabstand zu treffen.</w:t>
      </w:r>
    </w:p>
    <w:p>
      <w:r>
        <w:t xml:space="preserve">(3) Ist der Nachweis der Standsicherheit gemäß § 10 Absätze 1 und 2 durch einen Standsicherheitsnachweis bzw. eine Standsicherheitseinschätzung nicht erforderlich, so kann als Sicherheitsabstand der Richtwert verwendet werden, wie er sich aus Anlage 2 ergibt.</w:t>
      </w:r>
    </w:p>
    <w:p>
      <w:r>
        <w:t xml:space="preserve">(4) Durch die Festlegungen der Absätze 1 bis 3 werden die auf Grund anderer Rechtsvorschriften und Bestimmungen einzuhaltenden Abstände, wie zu Verkehrsbauten *), aus hygienischen Gründen zu Wohn- und Arbeitsstätten, nicht berührt. ------- *) Z.Z. gelten:</w:t>
      </w:r>
    </w:p>
    <w:p>
      <w:pPr>
        <w:ind w:left="420"/>
      </w:pPr>
      <w:r>
        <w:t xml:space="preserve">- Anordnung vom 2. Juni 1972 über den Bau und Betrieb von Anschlußbahnen - Bau- und Betriebsordnung für Anschlußbahnen (BOA) - (Sonderdruck Nr. 740 des Gesetzblattes),</w:t>
      </w:r>
    </w:p>
    <w:p>
      <w:pPr>
        <w:ind w:left="420"/>
      </w:pPr>
      <w:r>
        <w:t xml:space="preserve">- Verordnung vom 22. August 1974 über die öffentlichen Straßen - Straßenverordnung - (GBl. I Nr. 57 S. 515),</w:t>
      </w:r>
    </w:p>
    <w:p>
      <w:pPr>
        <w:ind w:left="420"/>
      </w:pPr>
      <w:r>
        <w:t xml:space="preserve">- Verordnung vom 12. Dezember 1978 zur Gewährleistung von Ordnung und Sicherheit in der Umgebung von Verkehrsanlagen (GBl. I 1979 Nr. 2 S. 9).</w:t>
      </w:r>
    </w:p>
    <w:p>
      <w:r>
        <w:rPr>
          <w:color w:val="555555"/>
          <w:sz w:val="17"/>
        </w:rPr>
        <w:t xml:space="preserve">Zitiervorschlag: § 12 HaldeRlAnO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https://recht.nulegal.eu/gesetze/HaldeRlAnO/12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