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HaldeRlAnO</w:t>
      </w:r>
    </w:p>
    <w:p>
      <w:r>
        <w:rPr>
          <w:color w:val="555555"/>
          <w:sz w:val="18"/>
        </w:rPr>
        <w:t xml:space="preserve">Anordnung über Halden und Restlöcher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Geplante bleibende Einzelböschungen und Böschungssysteme von Halden und Restlöchern sind auf der Grundlage von Standsicherheitsnachweisen bzw. Standsicherheitseinschätzungen zu gestalten, wenn</w:t>
      </w:r>
    </w:p>
    <w:p>
      <w:pPr>
        <w:ind w:left="420"/>
      </w:pPr>
      <w:r>
        <w:t xml:space="preserve">a) rutschungsbegünstigende Verhältnisse vorliegen bzw. Schwächeflächen im Festgestein auftreten oder</w:t>
      </w:r>
    </w:p>
    <w:p>
      <w:pPr>
        <w:ind w:left="420"/>
      </w:pPr>
      <w:r>
        <w:t xml:space="preserve">b) von den Böschungsparametern gemäß § 9 und den Sicherheitsabständen gemäß § 12 abgewichen wird oder</w:t>
      </w:r>
    </w:p>
    <w:p>
      <w:pPr>
        <w:ind w:left="420"/>
      </w:pPr>
      <w:r>
        <w:t xml:space="preserve">c) die örtliche Haldenhöhe 35 m übersteigt oder</w:t>
      </w:r>
    </w:p>
    <w:p>
      <w:pPr>
        <w:ind w:left="420"/>
      </w:pPr>
      <w:r>
        <w:t xml:space="preserve">d) die örtliche Tiefe von Restlöchern im Lockergestein 30 m übersteigt oder</w:t>
      </w:r>
    </w:p>
    <w:p>
      <w:pPr>
        <w:ind w:left="420"/>
      </w:pPr>
      <w:r>
        <w:t xml:space="preserve">e) die örtliche Tiefe von Restlöchern im Festgestein bei vorangegangener</w:t>
      </w:r>
    </w:p>
    <w:p>
      <w:pPr>
        <w:ind w:left="780"/>
      </w:pPr>
      <w:r>
        <w:t xml:space="preserve">- Haufwerksgewinnung 50 m,</w:t>
      </w:r>
    </w:p>
    <w:p>
      <w:pPr>
        <w:ind w:left="780"/>
      </w:pPr>
      <w:r>
        <w:t xml:space="preserve">- Werksteingewinnung 80 m</w:t>
      </w:r>
    </w:p>
    <w:p>
      <w:pPr>
        <w:ind w:left="420"/>
      </w:pPr>
      <w:r>
        <w:t xml:space="preserve">übersteigt oder</w:t>
      </w:r>
    </w:p>
    <w:p>
      <w:pPr>
        <w:ind w:left="420"/>
      </w:pPr>
      <w:r>
        <w:t xml:space="preserve">f) die Bergbehörde es fordert.</w:t>
      </w:r>
    </w:p>
    <w:p>
      <w:r>
        <w:t xml:space="preserve">(2) Für bestehende bleibende Einzelböschungen und bleibende Böschungssysteme ist die Standsicherheit durch einen Standsicherheitsnachweis bzw. eine Standsicherheitseinschätzung zu belegen, wenn die Bedingungen gemäß Abs. 1 Buchstaben a sowie c bis e zutreffen oder es die Bergbehörde fordert.</w:t>
      </w:r>
    </w:p>
    <w:p>
      <w:r>
        <w:t xml:space="preserve">(3) Standsicherheitsnachweise und Standsicherheitseinschätzungen für Böschungen und Böschungssysteme sind durch Sachverständige für Böschungen, die gemäß den geltenden Rechtsvorschriften *1) von der Obersten Bergbehörde anerkannt sind, anzufertigen oder zu bestätigen.</w:t>
      </w:r>
    </w:p>
    <w:p>
      <w:r>
        <w:t xml:space="preserve">(4) Standsicherheitsnachweise und Standsicherheitseinschätzungen sind in Anlehnung an die Gliederung in den Rechtsvorschriften und anderen Bestimmungen der Bergbausicherheit *2) anzufertigen. ------- *1) Z.Z. gilt die Anordnung vom 24. April 1974 über die Rechte, Pflichten und die Anerkennung von Sachverständigen der Obersten Bergbehörde - Sachverständigenanordnung - (GBl. I Nr. 23 S. 245). *2) Z.Z. gilt die Anlage 5 der Arbeitsschutz- und Brandschutzanordnung 122/1 vom 5. Oktober 1973 - Bergbausicherheit im Bergbau über Tage - (Sonderdruck Nr. 768 des Gesetzblattes) i.d.F. der Änderungsanordnung Nr. 1 vom 28. März 1978 (GBl. I Nr. 12 S. 156).</w:t>
      </w:r>
    </w:p>
    <w:p>
      <w:r>
        <w:rPr>
          <w:color w:val="555555"/>
          <w:sz w:val="17"/>
        </w:rPr>
        <w:t xml:space="preserve">Zitiervorschlag: § 10 HaldeRlAnO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https://recht.nulegal.eu/gesetze/HaldeRlAnO/10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