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Diese Anordnung regelt die Aufgaben, Rechte und Pflichten der Betriebe und Organe sowie die Aufgaben und Befugnisse der zuständigen staatlichen Organe bezüglich der</w:t>
      </w:r>
    </w:p>
    <w:p>
      <w:pPr>
        <w:ind w:left="420"/>
      </w:pPr>
      <w:r>
        <w:t xml:space="preserve">a) Halden, die dauerhaft durch Aufschüttung, Ablagerung oder Verkippung von trockenen oder feuchten, nicht fließfähigen Abprodukten (Industrieabprodukte und Siedlungsabfälle) *1) oder mineralischen Begleitrohstoffen *2) und</w:t>
      </w:r>
    </w:p>
    <w:p>
      <w:pPr>
        <w:ind w:left="420"/>
      </w:pPr>
      <w:r>
        <w:t xml:space="preserve">b) Restlöcher, die mit der Beendigung der bergbaulichen Nutzung von Tagebauen oder Teilen von Tagebauen</w:t>
      </w:r>
    </w:p>
    <w:p>
      <w:r>
        <w:t xml:space="preserve">entstehen oder entstanden sind.</w:t>
      </w:r>
    </w:p>
    <w:p>
      <w:r>
        <w:t xml:space="preserve">(2) Diese Anordnung gilt nicht für</w:t>
      </w:r>
    </w:p>
    <w:p>
      <w:pPr>
        <w:ind w:left="420"/>
      </w:pPr>
      <w:r>
        <w:t xml:space="preserve">a) die Verkippung von Abraum in Tagebauen,</w:t>
      </w:r>
    </w:p>
    <w:p>
      <w:pPr>
        <w:ind w:left="420"/>
      </w:pPr>
      <w:r>
        <w:t xml:space="preserve">b) Erdbauwerke, wie Wälle, Dämme und Deiche,</w:t>
      </w:r>
    </w:p>
    <w:p>
      <w:pPr>
        <w:ind w:left="420"/>
      </w:pPr>
      <w:r>
        <w:t xml:space="preserve">c) Halden, die in das System von Absperrdämmen für industrielle Absetzanlagen *3) einbezogen werden,</w:t>
      </w:r>
    </w:p>
    <w:p>
      <w:pPr>
        <w:ind w:left="420"/>
      </w:pPr>
      <w:r>
        <w:t xml:space="preserve">d) Restlöcher, die als industrielle Absetzanlagen genutzt werden.</w:t>
      </w:r>
    </w:p>
    <w:p>
      <w:r>
        <w:t xml:space="preserve">(3) Bei Halden im Sinne des Abs. 1 Buchst. a, die nicht dauerhaft entstehen oder entstanden sind, kann die Bergbehörde in Abstimmung mit dem Rat des Bezirkes entscheiden, in welchem Umfang die Bestimmungen dieser Anordnung anzuwenden sind. Der Rat des Bezirkes kann diese Aufgabe dem Rat des Kreises übertragen.</w:t>
      </w:r>
    </w:p>
    <w:p>
      <w:r>
        <w:t xml:space="preserve">(4) Diese Anordnung gilt auch für Bürger hinsichtlich ihres Verhaltens an Bereichen von Halden und Restlöchern. ------- *1) Für Bergbauhalden gelten neben den zutreffenden Bestimmungen dieser Anordnung die besonderen Bestimmungen der Bergbausicherheit</w:t>
      </w:r>
    </w:p>
    <w:p>
      <w:pPr>
        <w:ind w:left="420"/>
      </w:pPr>
      <w:r>
        <w:t xml:space="preserve">- Arbeitsschutz- und Brandschutzanordnung 120/2 vom 5. Oktober 1973- Bergbausicherheit im Bergbau unter Tage - (Sonderdruck Nr. 767 des Gesetzblattes),</w:t>
      </w:r>
    </w:p>
    <w:p>
      <w:pPr>
        <w:ind w:left="420"/>
      </w:pPr>
      <w:r>
        <w:t xml:space="preserve">- Arbeitsschutz- und Brandschutzanordnung 122/1 vom 5. Oktober 1973- Bergbausicherheit im Bergbau über Tage - (Sonderdruck Nr. 768 des Gesetzblattes) i.d.F. der Änderungsanordnung Nr. 1 vom 28. März 1978 (GBl. I Nr. 12 S. 156).</w:t>
      </w:r>
    </w:p>
    <w:p>
      <w:r>
        <w:t xml:space="preserve">*2) Z.Z. gilt die Vierte Durchführungsverordnung vom 13. Juli 1977 zum Berggesetz der Deutschen Demokratischen Republik - Untersuchung und Nutzung von mineralischen Begleitrohstoffen - (GBl. I Nr. 25 S. 309). *3) Z.Z. gilt die Anordnung vom 22. Mai 1969 über Vorbereitung, Bau, Betrieb und Instandhaltung sowie Außerbetriebsetzung industrieller Absetzanlagen (GBl. II Nr. 47 S. 297).</w:t>
      </w:r>
    </w:p>
    <w:p>
      <w:r>
        <w:rPr>
          <w:color w:val="555555"/>
          <w:sz w:val="17"/>
        </w:rPr>
        <w:t xml:space="preserve">Zitiervorschlag: § 1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