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HalblSchV — Betriebs- oder Geschäftsgeheimnisse</w:t>
      </w:r>
    </w:p>
    <w:p>
      <w:r>
        <w:rPr>
          <w:color w:val="555555"/>
          <w:sz w:val="18"/>
        </w:rPr>
        <w:t xml:space="preserve">Halbleiterschutzverordnung</w:t>
      </w:r>
    </w:p>
    <w:p>
      <w:r>
        <w:rPr>
          <w:color w:val="555555"/>
          <w:sz w:val="18"/>
        </w:rPr>
        <w:t xml:space="preserve">Stand: 10.06.2019 (konsolidierte Textfassung, kein amtliches Inkrafttretensdatum)</w:t>
      </w:r>
    </w:p>
    <w:p>
      <w:r>
        <w:t xml:space="preserve">Werden Unterlagen als Betriebs- oder Geschäftsgeheimnisse gekennzeichnet, so sind die gekennzeichneten Teile in der Anmeldung getrennt von den übrigen Teilen einzureichen. Die Unterlagen können auch in einem Originalexemplar und einem weiteren Exemplar mit unkenntlich gemachten Teilen eingereicht werden; das Originalexemplar wird für die Akteneinsicht in Löschungs-, Rechtsgültigkeits- und Verletzungsverfahren (§ 4 Abs. 3 Satz 1 des Halbleiterschutzgesetzes), das Zweitexemplar für die allgemeine Akteneinsicht zur Verfügung gehalten.</w:t>
      </w:r>
    </w:p>
    <w:p>
      <w:r>
        <w:rPr>
          <w:color w:val="555555"/>
          <w:sz w:val="17"/>
        </w:rPr>
        <w:t xml:space="preserve">Zitiervorschlag: § 5 HalblSchV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