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HalblSchV — Form der Einreichung</w:t>
      </w:r>
    </w:p>
    <w:p>
      <w:r>
        <w:rPr>
          <w:color w:val="555555"/>
          <w:sz w:val="18"/>
        </w:rPr>
        <w:t xml:space="preserve">Halbleiterschutzverordnung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Anmeldung der Topografie ist beim Deutschen Patent- und Markenamt schriftlich einzureichen.</w:t>
      </w:r>
    </w:p>
    <w:p>
      <w:r>
        <w:t xml:space="preserve">(2) Die Anmeldung zur Eintragung des Schutzes der Topografie muss unter Verwendung des vom Deutschen Patent- und Markenamt herausgegebenen Formblatts eingereicht werden.</w:t>
      </w:r>
    </w:p>
    <w:p>
      <w:r>
        <w:rPr>
          <w:color w:val="555555"/>
          <w:sz w:val="17"/>
        </w:rPr>
        <w:t xml:space="preserve">Zitiervorschlag: § 2 HalblSchV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https://recht.nulegal.eu/gesetze/HalblSchV/2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