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HalblSchG — Schutzverletzung</w:t>
      </w:r>
    </w:p>
    <w:p>
      <w:r>
        <w:rPr>
          <w:color w:val="555555"/>
          <w:sz w:val="18"/>
        </w:rPr>
        <w:t xml:space="preserve">Halbleiterschutzgesetz</w:t>
      </w:r>
    </w:p>
    <w:p>
      <w:r>
        <w:rPr>
          <w:color w:val="555555"/>
          <w:sz w:val="18"/>
        </w:rPr>
        <w:t xml:space="preserve">Stand: 10.06.2019 (konsolidierte Textfassung, kein amtliches Inkrafttretensdatum)</w:t>
      </w:r>
    </w:p>
    <w:p>
      <w:r>
        <w:t xml:space="preserve">(1) Wer den Vorschriften des § 6 Abs. 1 zuwider den Schutz der Topographie verletzt, kann vom Verletzten auf Unterlassung in Anspruch genommen werden. Wer die Handlung vorsätzlich oder fahrlässig vornimmt, ist dem Verletzten zum Ersatz des daraus entstandenen Schadens verpflichtet. § 24 Abs. 2 Satz 2 und 3 des Gebrauchsmustergesetzes gilt entsprechend.</w:t>
      </w:r>
    </w:p>
    <w:p>
      <w:r>
        <w:t xml:space="preserve">(2) Die §§ 24a bis 24e, 25a und 25b des Gebrauchsmustergesetzes gelten entsprechend.</w:t>
      </w:r>
    </w:p>
    <w:p>
      <w:r>
        <w:t xml:space="preserve">(3) Auf die Verjährung der Ansprüche wegen Verletzung des Schutzrechts finden die Vorschriften des Abschnitts 5 des Buches 1 des Bürgerlichen Gesetzbuchs entsprechende Anwendung. Hat der Verpflichtete durch die Verletzung auf Kosten des Berechtigten etwas erlangt, findet § 852 des Bürgerlichen Gesetzbuchs entsprechende Anwendung.</w:t>
      </w:r>
    </w:p>
    <w:p>
      <w:r>
        <w:t xml:space="preserve">(4) § 24g des Gebrauchsmustergesetzes gilt entsprechend.</w:t>
      </w:r>
    </w:p>
    <w:p>
      <w:r>
        <w:rPr>
          <w:color w:val="555555"/>
          <w:sz w:val="17"/>
        </w:rPr>
        <w:t xml:space="preserve">Zitiervorschlag: § 9 HalblSchG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https://recht.nulegal.eu/gesetze/HalblSchG/9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