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HalblSchG — Löschungsanspruch, Löschungsverfahren</w:t>
      </w:r>
    </w:p>
    <w:p>
      <w:r>
        <w:rPr>
          <w:color w:val="555555"/>
          <w:sz w:val="18"/>
        </w:rPr>
        <w:t xml:space="preserve">Halbleiterschutzgesetz</w:t>
      </w:r>
    </w:p>
    <w:p>
      <w:r>
        <w:rPr>
          <w:color w:val="555555"/>
          <w:sz w:val="18"/>
        </w:rPr>
        <w:t xml:space="preserve">Stand: 19.11.2021 (konsolidierte Textfassung, kein amtliches Inkrafttretensdatum)</w:t>
      </w:r>
    </w:p>
    <w:p>
      <w:r>
        <w:t xml:space="preserve">(1) Jedermann hat gegen den als Inhaber Eingetragenen Anspruch auf Löschung der Eintragung der Topographie, wenn</w:t>
      </w:r>
    </w:p>
    <w:p>
      <w:pPr>
        <w:ind w:left="420"/>
      </w:pPr>
      <w:r>
        <w:t xml:space="preserve">1. die Topographie nach § 1 nicht schutzfähig ist,</w:t>
      </w:r>
    </w:p>
    <w:p>
      <w:pPr>
        <w:ind w:left="420"/>
      </w:pPr>
      <w:r>
        <w:t xml:space="preserve">2. der Anmelder oder der als Inhaber Eingetragene nicht nach § 2 Abs. 3 bis 6 zum Schutz berechtigt ist oder</w:t>
      </w:r>
    </w:p>
    <w:p>
      <w:pPr>
        <w:ind w:left="420"/>
      </w:pPr>
      <w:r>
        <w:t xml:space="preserve">3. die Topographie nicht innerhalb der Frist nach § 5 Abs. 1 Nr. 1 oder nach Ablauf der Frist nach § 5 Abs. 4 angemeldet worden ist.</w:t>
      </w:r>
    </w:p>
    <w:p>
      <w:r>
        <w:t xml:space="preserve">(2) Im Falle des § 7 Abs. 2 steht nur dem Verletzten ein Anspruch auf Löschung zu.</w:t>
      </w:r>
    </w:p>
    <w:p>
      <w:r>
        <w:t xml:space="preserve">(3) Betreffen die Löschungsgründe nur einen Teil der Topographie, so wird die Eintragung nur in diesem Umfang gelöscht.</w:t>
      </w:r>
    </w:p>
    <w:p>
      <w:r>
        <w:t xml:space="preserve">(4) Die Löschung der Eintragung der Topographie nach den Absätzen 1 bis 3 ist beim Deutschen Patent- und Markenamt schriftlich zu beantragen. Der Antrag muß die Tatsachen angeben, auf die er gestützt wird. Die Vorschriften des § 81 Abs. 6 und des § 125 des Patentgesetzes sind entsprechend anzuwenden.</w:t>
      </w:r>
    </w:p>
    <w:p>
      <w:r>
        <w:t xml:space="preserve">(5) Die Vorschriften des Gebrauchsmustergesetzes über das Löschungsverfahren (§ 17) und über die Wirkung des Löschungsverfahrens auf eine Streitsache (§ 19) sind entsprechend anzuwenden.</w:t>
      </w:r>
    </w:p>
    <w:p>
      <w:r>
        <w:rPr>
          <w:color w:val="555555"/>
          <w:sz w:val="17"/>
        </w:rPr>
        <w:t xml:space="preserve">Zitiervorschlag: § 8 HalblSchG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https://recht.nulegal.eu/gesetze/HalblSchG/8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