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HalblSchG — Berlin-Klausel</w:t>
      </w:r>
    </w:p>
    <w:p>
      <w:r>
        <w:rPr>
          <w:color w:val="555555"/>
          <w:sz w:val="18"/>
        </w:rPr>
        <w:t xml:space="preserve">Halbleiterschutzgesetz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auch im Land Berlin. Rechtsverordnungen, die auf Grund dieses Gesetzes, des Gebrauchsmustergesetzes und des Patentgesetzes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§ 27 HalblSchG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https://recht.nulegal.eu/gesetze/HalblSchG/27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