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(1) Im Falle der Tötung ist der Schadensersatz (§§ 1, 2 und 3) durch Ersatz der Kosten einer versuchten Heilung sowie des Vermögensnachteils zu leisten, den der Getötete dadurch erlitten hat, daß während der Krankheit seine Erwerbsfähigkeit aufgehoben oder gemindert oder eine Vermehrung seiner Bedürfnisse eingetreten war. Der Ersatzpflichtige hat außerdem die Kosten der Beerdigung demjenigen zu ersetzen, dem die Verpflichtung obliegt, diese Kosten zu tragen.</w:t>
      </w:r>
    </w:p>
    <w:p>
      <w:r>
        <w:t xml:space="preserve">(2) Stand der Getötete zur Zeit der Verletzung zu einem Dritten in einem Verhältnisse, vermöge dessen er diesem gegenüber kraft Gesetzes unterhaltspflichtig war oder unterhaltspflichtig werden konnte, und ist dem Dritten infolge der Tötung das Recht auf den Unterhalt entzogen, so hat der Ersatzpflichtige dem Dritten insoweit Schadensersatz zu leisten, als der Getötete während der mutmaßlichen Dauer seines Lebens zur Gewährung des Unterhalts verpflichtet gewesen sein würde. Die Ersatzpflicht tritt auch dann ein, wenn der Dritte zur Zeit der Verletzung gezeugt, aber noch nicht geboren war.</w:t>
      </w:r>
    </w:p>
    <w:p>
      <w:r>
        <w:t xml:space="preserve">(3) Der Ersatzpflichtige hat dem Hinterbliebenen, der zur Zeit der Verletzung zu dem Getöteten in einem besonderen persönlichen Näheverhältnis stand, für das dem Hinterbliebenen zugefügte seelische Leid eine angemessene Entschädigung in Geld zu leisten. Ein besonderes persönliches Näheverhältnis wird vermutet, wenn der Hinterbliebene der Ehegatte, der Lebenspartner, ein Elternteil oder ein Kind des Getöteten war.</w:t>
      </w:r>
    </w:p>
    <w:p>
      <w:r>
        <w:rPr>
          <w:color w:val="555555"/>
          <w:sz w:val="17"/>
        </w:rPr>
        <w:t xml:space="preserve">Zitiervorschlag: § 5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