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HaftPflG</w:t>
      </w:r>
    </w:p>
    <w:p>
      <w:r>
        <w:rPr>
          <w:color w:val="555555"/>
          <w:sz w:val="18"/>
        </w:rPr>
        <w:t xml:space="preserve">Haftpflichtgesetz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Klagen, die auf Grund dieses Gesetzes erhoben werden, ist auch das Gericht zuständig, in dessen Bezirk das schädigende Ereignis stattgefunden hat.</w:t>
      </w:r>
    </w:p>
    <w:p>
      <w:r>
        <w:rPr>
          <w:color w:val="555555"/>
          <w:sz w:val="17"/>
        </w:rPr>
        <w:t xml:space="preserve">Zitiervorschlag: § 14 HaftPflG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https://recht.nulegal.eu/gesetze/HaftPflG/14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