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HaftPflG</w:t>
      </w:r>
    </w:p>
    <w:p>
      <w:r>
        <w:rPr>
          <w:color w:val="555555"/>
          <w:sz w:val="18"/>
        </w:rPr>
        <w:t xml:space="preserve">Haftpflichtgesetz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Unberührt bleiben gesetzliche Vorschriften, nach denen ein Ersatzpflichtiger in weiterem Umfang als nach den Vorschriften dieses Gesetzes haftet oder nach denen ein anderer für den Schaden verantwortlich ist.</w:t>
      </w:r>
    </w:p>
    <w:p>
      <w:r>
        <w:rPr>
          <w:color w:val="555555"/>
          <w:sz w:val="17"/>
        </w:rPr>
        <w:t xml:space="preserve">Zitiervorschlag: § 12 HaftPflG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https://recht.nulegal.eu/gesetze/HaftPflG/12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