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HaftPflG</w:t>
      </w:r>
    </w:p>
    <w:p>
      <w:r>
        <w:rPr>
          <w:color w:val="555555"/>
          <w:sz w:val="18"/>
        </w:rPr>
        <w:t xml:space="preserve">Haftpflichtgesetz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die Verjährung finden die für unerlaubte Handlungen geltenden Verjährungsvorschriften des Bürgerlichen Gesetzbuchs entsprechende Anwendung.</w:t>
      </w:r>
    </w:p>
    <w:p>
      <w:r>
        <w:rPr>
          <w:color w:val="555555"/>
          <w:sz w:val="17"/>
        </w:rPr>
        <w:t xml:space="preserve">Zitiervorschlag: § 11 HaftPflG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https://recht.nulegal.eu/gesetze/HaftPflG/11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