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HafenSchAusbV — Ausbildungsdauer</w:t>
      </w:r>
    </w:p>
    <w:p>
      <w:r>
        <w:rPr>
          <w:color w:val="555555"/>
          <w:sz w:val="18"/>
        </w:rPr>
        <w:t xml:space="preserve">Verordnung über die Berufsausbildung zum Hafenschiffer/zur Hafenschifferin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HafenSchAusbV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https://recht.nulegal.eu/gesetze/HafenSchAusbV/2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