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HaagÜbkAG</w:t>
      </w:r>
    </w:p>
    <w:p>
      <w:r>
        <w:rPr>
          <w:color w:val="555555"/>
          <w:sz w:val="18"/>
        </w:rPr>
        <w:t xml:space="preserve">Gesetz zur Ausführung des Haager Übereinkommens vom 15. November 1965 über die Zustellung gerichtlicher und außergerichtlicher Schriftstücke im Ausland in Zivil- oder Handelssachen und des Haager Übereinkommens vom 18. März 1970 über die Beweisaufnahme im Ausland in Zivil- oder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16 HaagÜbkAG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https://recht.nulegal.eu/gesetze/Haag%C3%9CbkAG/16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