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HaagÜbkAG</w:t>
      </w:r>
    </w:p>
    <w:p>
      <w:r>
        <w:rPr>
          <w:color w:val="555555"/>
          <w:sz w:val="18"/>
        </w:rPr>
        <w:t xml:space="preserve">Gesetz zur Ausführung des Haager Übereinkommens vom 15. November 1965 über die Zustellung gerichtlicher und außergerichtlicher Schriftstücke im Ausland in Zivil- oder Handelssachen und des Haager Übereinkommens vom 18. März 1970 über die Beweisaufnahme im Ausland in Zivil- oder Handelssachen</w:t>
      </w:r>
    </w:p>
    <w:p>
      <w:r>
        <w:rPr>
          <w:color w:val="555555"/>
          <w:sz w:val="18"/>
        </w:rPr>
        <w:t xml:space="preserve">Stand: 10.06.2019 (konsolidierte Textfassung, kein amtliches Inkrafttretensdatum)</w:t>
      </w:r>
    </w:p>
    <w:p>
      <w:r>
        <w:t xml:space="preserve">Eine Beweisaufnahme durch diplomatische oder konsularische Vertreter ist unzulässig, wenn sie deutsche Staatsangehörige betrifft. Betrifft sie Angehörige eines dritten Staates oder Staatenlose, so ist sie nur zulässig, wenn die Zentrale Behörde sie genehmigt hat (Artikel 16 Abs. 1 des Übereinkommens). Eine Genehmigung ist nicht erforderlich, wenn der Angehörige eines dritten Staates zugleich die Staatsangehörigkeit des Staates des ersuchenden Gerichts besitzt.</w:t>
      </w:r>
    </w:p>
    <w:p>
      <w:r>
        <w:rPr>
          <w:color w:val="555555"/>
          <w:sz w:val="17"/>
        </w:rPr>
        <w:t xml:space="preserve">Zitiervorschlag: § 11 HaagÜbkAG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https://recht.nulegal.eu/gesetze/Haag%C3%9CbkAG/11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