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HaWiAusbV — Inkrafttreten, Außerkrafttreten</w:t>
      </w:r>
    </w:p>
    <w:p>
      <w:r>
        <w:rPr>
          <w:color w:val="555555"/>
          <w:sz w:val="18"/>
        </w:rPr>
        <w:t xml:space="preserve">Hauswirtschafterausbildungsverordnung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Diese Verordnung tritt am 1. August 2020 in Kraft. Gleichzeitig tritt die Ausbildungsverordnung Hauswirtschafter/Hauswirtschafterin vom 30. Juni 1999 (BGBl. I S. 1495) außer Kraft.</w:t>
      </w:r>
    </w:p>
    <w:p>
      <w:r>
        <w:rPr>
          <w:color w:val="555555"/>
          <w:sz w:val="17"/>
        </w:rPr>
        <w:t xml:space="preserve">Zitiervorschlag: § 20 HaWiAusbV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https://recht.nulegal.eu/gesetze/HaWiAusbV/20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