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HaSiG (Nordrhein-Westfalen) — Inkrafttreten und Außerkrafttreten</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tritt am Tag nach der Verkündung in Kraft. Gleichzeitig tritt das Hafensicherheitsgesetz vom 30. Oktober 2007 (GV. NRW. S. 470), das durch Gesetz vom 9. Februar 2010 (GV. NRW. S. 135) geändert worden ist, außer Kraft.</w:t>
      </w:r>
    </w:p>
    <w:p>
      <w:r>
        <w:t xml:space="preserve">Die Landesregierung</w:t>
      </w:r>
    </w:p>
    <w:p>
      <w:r>
        <w:t xml:space="preserve">Nordrhein-Westfalen</w:t>
      </w:r>
    </w:p>
    <w:p>
      <w:r>
        <w:t xml:space="preserve">Für die Ministerpräsidentin</w:t>
      </w:r>
    </w:p>
    <w:p>
      <w:r>
        <w:t xml:space="preserve">Die Ministerin</w:t>
      </w:r>
    </w:p>
    <w:p>
      <w:r>
        <w:t xml:space="preserve">für Schule und Weiterbildung</w:t>
      </w:r>
    </w:p>
    <w:p>
      <w:r>
        <w:t xml:space="preserve">Der Finanzminister</w:t>
      </w:r>
    </w:p>
    <w:p>
      <w:r>
        <w:t xml:space="preserve">Der Minister</w:t>
      </w:r>
    </w:p>
    <w:p>
      <w:r>
        <w:t xml:space="preserve">für Wirtschaft, Energie, Industrie,</w:t>
      </w:r>
    </w:p>
    <w:p>
      <w:r>
        <w:t xml:space="preserve">Mittelstand und Handwerk</w:t>
      </w:r>
    </w:p>
    <w:p>
      <w:r>
        <w:t xml:space="preserve">Der Minister</w:t>
      </w:r>
    </w:p>
    <w:p>
      <w:r>
        <w:t xml:space="preserve">für Inneres und Kommunales</w:t>
      </w:r>
    </w:p>
    <w:p>
      <w:r>
        <w:t xml:space="preserve">Der Minister</w:t>
      </w:r>
    </w:p>
    <w:p>
      <w:r>
        <w:t xml:space="preserve">für Arbeit, Integration und Soziales</w:t>
      </w:r>
    </w:p>
    <w:p>
      <w:r>
        <w:t xml:space="preserve">Der Justizminister</w:t>
      </w:r>
    </w:p>
    <w:p>
      <w:r>
        <w:t xml:space="preserve">Der Minister</w:t>
      </w:r>
    </w:p>
    <w:p>
      <w:r>
        <w:t xml:space="preserve">für Bauen, Wohnen, Stadtentwicklung und Verkehr</w:t>
      </w:r>
    </w:p>
    <w:p>
      <w:r>
        <w:t xml:space="preserve">zugleich für den Minister</w:t>
      </w:r>
    </w:p>
    <w:p>
      <w:r>
        <w:t xml:space="preserve">für Bundesangelegenheiten, Europa und Medien</w:t>
      </w:r>
    </w:p>
    <w:p>
      <w:r>
        <w:t xml:space="preserve">und Chef der Staatskanzlei</w:t>
      </w:r>
    </w:p>
    <w:p>
      <w:r>
        <w:rPr>
          <w:color w:val="555555"/>
          <w:sz w:val="17"/>
        </w:rPr>
        <w:t xml:space="preserve">Zitiervorschlag: § 26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