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HaSiG (Nordrhein-Westfalen) — Erlass von Rechtsverordnungen</w:t>
      </w:r>
    </w:p>
    <w:p>
      <w:r>
        <w:rPr>
          <w:color w:val="555555"/>
          <w:sz w:val="18"/>
        </w:rPr>
        <w:t xml:space="preserve">Hafensicherheitsgesetz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den Verkehr zuständige Ministerium wird ermächtigt, durch Rechtsverordnung</w:t>
      </w:r>
    </w:p>
    <w:p>
      <w:r>
        <w:t xml:space="preserve">1. weitere Einzelheiten zur Datenerhebung und -übermittlung sowie zum Verfahren für die Zuverlässigkeitsüberprüfung zu regeln und</w:t>
      </w:r>
    </w:p>
    <w:p>
      <w:r>
        <w:t xml:space="preserve">2. Umfang und Inhalt der Ausbildungsveranstaltungen im Sinne des § 9 Absatz 3 sowie das Verfahren zur Überprüfung der Anforderungen festzulegen.</w:t>
      </w:r>
    </w:p>
    <w:p>
      <w:r>
        <w:rPr>
          <w:color w:val="555555"/>
          <w:sz w:val="17"/>
        </w:rPr>
        <w:t xml:space="preserve">Zitiervorschlag: § 24 HaSiG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https://recht.nulegal.eu/gesetze/HaSiG/24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