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HaSiG (Nordrhein-Westfalen) — Anwendungsbereich</w:t>
      </w:r>
    </w:p>
    <w:p>
      <w:r>
        <w:rPr>
          <w:color w:val="555555"/>
          <w:sz w:val="18"/>
        </w:rPr>
        <w:t xml:space="preserve">Hafensicherheitsgesetz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findet Anwendung</w:t>
      </w:r>
    </w:p>
    <w:p>
      <w:r>
        <w:t xml:space="preserve">1. auf Hafenanlagen, in denen</w:t>
      </w:r>
    </w:p>
    <w:p>
      <w:r>
        <w:t xml:space="preserve">a) Fahrgastschiffe unter Einschluss von Hochgeschwindigkeitsfahrzeugen oder</w:t>
      </w:r>
    </w:p>
    <w:p>
      <w:r>
        <w:t xml:space="preserve">b) Frachtschiffe mit einer Bruttoraumzahl von 500 und darüber unter Einschluss von Hochgeschwindigkeitsfahrzeugen</w:t>
      </w:r>
    </w:p>
    <w:p>
      <w:r>
        <w:t xml:space="preserve">abgefertigt werden, soweit es sich hierbei um Seeschiffe handelt, die in der Auslandsfahrt eingesetzt werden,</w:t>
      </w:r>
    </w:p>
    <w:p>
      <w:r>
        <w:t xml:space="preserve">2. auf Häfen, in denen sich vorstehende Hafenanlagen befinden und</w:t>
      </w:r>
    </w:p>
    <w:p>
      <w:r>
        <w:t xml:space="preserve">3. auf im Einzelfall festgelegte, außerhalb der nach § 14 definierten Hafengrenzen liegende, zentrale Versorgungseinrichtungen für die Hafennutzung.</w:t>
      </w:r>
    </w:p>
    <w:p>
      <w:r>
        <w:t xml:space="preserve">(2) Die Hafensicherheitsbehörde entscheidet über den Umfang der Anwendung dieses Gesetzes auf diejenigen Hafenanlagen, die nur bis zu zwölf Seeschiffe im Sinne des Absatzes 1 pro Kalenderjahr abfertigen. Die Hafensicherheitsbehörde muss ihre Entscheidung auf der Grundlage einer nach Maßgabe des § 10 und des ISPS-Codes durchgeführten Risikobewertung treffen.</w:t>
      </w:r>
    </w:p>
    <w:p>
      <w:r>
        <w:t xml:space="preserve">(3) Werden auf der Grundlage einer Risikobewertung durch die Hafensicherheitsbehörde die Grenzen des Hafens gemäß § 14 so festgelegt, dass der Hafen lediglich die Fläche einer Hafenanlage im Sinne des Absatzes 1 umfasst, so haben die einschlägigen Bestimmungen der Verordnung (EG) Nr. 725/2004 Vorrang vor den Bestimmungen der Richtlinie 2005/65/EG.</w:t>
      </w:r>
    </w:p>
    <w:p>
      <w:r>
        <w:rPr>
          <w:color w:val="555555"/>
          <w:sz w:val="17"/>
        </w:rPr>
        <w:t xml:space="preserve">Zitiervorschlag: § 2 HaSiG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https://recht.nulegal.eu/gesetze/HaSiG/2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