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HaSiG (Nordrhein-Westfalen) — Zielsetzung</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dient der Sicherheit in den nordrhein-westfälischen Häfen und Hafenanlagen, insbesondere dem Schutz vor Sabotageakten und terroristischen Anschlägen (Gefahrenabwehr in Häfen und Hafenanlagen). Es dient der Ausführung sowie der Umsetzung der Vorgaben folgender internationaler Vorschriften, soweit diese nicht bereits unmittelbar gelten:</w:t>
      </w:r>
    </w:p>
    <w:p>
      <w:r>
        <w:t xml:space="preserve">1. Richtlinie 2005/65/EG des Europäischen Parlaments und des Rates vom 26. Oktober 2005 zur Erhöhung der Gefahrenabwehr in Häfen (ABl. L 310 vom 25.11.2005, S. 28), die durch Verordnung (EG) Nr. 219/2009 (ABl. L87 vom 31.3.2009, S. 109) geändert worden ist,</w:t>
      </w:r>
    </w:p>
    <w:p>
      <w:r>
        <w:t xml:space="preserve">2. Verordnung (EG) Nr. 725/2004 des Europäischen Parlaments und des Rates vom 31. März 2004 zur Erhöhung der Gefahrenabwehr auf Schiffen und in Hafenanlagen (ABl. L 129 vom 29.4.2004, S. 6),</w:t>
      </w:r>
    </w:p>
    <w:p>
      <w:r>
        <w:t xml:space="preserve">3. Internationales Übereinkommen von 1974 zum Schutz des menschlichen Lebens auf See vom 1. November 1974 (BGBl. 1979 II S. 141), das zuletzt durch Gesetz vom 22. Dezember 2003 (BGBl. 2003 II S. 2018) geändert worden ist (SOLAS-Übereinkommen),</w:t>
      </w:r>
    </w:p>
    <w:p>
      <w:r>
        <w:t xml:space="preserve">4. Internationaler Code für Gefahrenabwehr auf Schiffen und in Hafenanlagen (BGBl. 2003 II S. 2018) (ISPS-Code).</w:t>
      </w:r>
    </w:p>
    <w:p>
      <w:r>
        <w:rPr>
          <w:color w:val="555555"/>
          <w:sz w:val="17"/>
        </w:rPr>
        <w:t xml:space="preserve">Zitiervorschlag: § 1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