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HaGeWeMaSaatVerkV — Anforderungen an das Inverkehrbringen von Saatgut einer Population</w:t>
      </w:r>
    </w:p>
    <w:p>
      <w:r>
        <w:rPr>
          <w:color w:val="555555"/>
          <w:sz w:val="18"/>
        </w:rPr>
        <w:t xml:space="preserve">Verordnung über das Inverkehrbringen von Saatgut von Populationen der Arten Hafer, Gerste, Weizen und Mais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(1) Abweichend von § 3 Absatz 1 Satz 1 Nummer 1 des Saatgutverkehrsgesetzes darf Saatgut einer Population ohne Anerkennung in den Verkehr gebracht werden.</w:t>
      </w:r>
    </w:p>
    <w:p>
      <w:r>
        <w:t xml:space="preserve">(2) Saatgut einer Population darf im Übrigen nur in den Verkehr gebracht werden, wenn</w:t>
      </w:r>
    </w:p>
    <w:p>
      <w:pPr>
        <w:ind w:left="420"/>
      </w:pPr>
      <w:r>
        <w:t xml:space="preserve">1. die Population zugelassen ist,</w:t>
      </w:r>
    </w:p>
    <w:p>
      <w:pPr>
        <w:ind w:left="420"/>
      </w:pPr>
      <w:r>
        <w:t xml:space="preserve">2. der Erzeuger die zuständige Behörde unter Angabe des Namens und der Anschrift zu dem sich aus der Anlage 1 der Saatgutverordnung für die betroffene Art ergebenden Termin über das Vermehrungsvorhaben, insbesondere über die Art, der die Population angehört und die voraussichtliche Lage der Vermehrungsflächen, unterrichtet hat,</w:t>
      </w:r>
    </w:p>
    <w:p>
      <w:pPr>
        <w:ind w:left="420"/>
      </w:pPr>
      <w:r>
        <w:t xml:space="preserve">3. es – abweichend von der Saatgutverordnung – aus Feldbeständen erwachsen ist, die lediglich die in Anhang I Nummer 1 und 6 der Richtlinie 66/402/EWG des Rates vom 14. Juni 1966 über den Verkehr mit Getreidesaatgut (ABl. L 125 vom 11.7.1966, S. 2309), die zuletzt durch die Durchführungsrichtlinie 2012/37/EU (ABl. L 325 vom 23.11.2012, S. 13) geändert worden ist, in ihrer jeweils geltenden Fassung genannten Anforderungen erfüllen,</w:t>
      </w:r>
    </w:p>
    <w:p>
      <w:pPr>
        <w:ind w:left="420"/>
      </w:pPr>
      <w:r>
        <w:t xml:space="preserve">4. es – abweichend von der Saatgutverordnung – lediglich die Anforderungen an zertifiziertes Saatgut nach Anhang II Nummer 2 und 3 der Richtlinie 66/402/EWG erfüllt,</w:t>
      </w:r>
    </w:p>
    <w:p>
      <w:pPr>
        <w:ind w:left="420"/>
      </w:pPr>
      <w:r>
        <w:t xml:space="preserve">5. es der Population angehört und</w:t>
      </w:r>
    </w:p>
    <w:p>
      <w:pPr>
        <w:ind w:left="420"/>
      </w:pPr>
      <w:r>
        <w:t xml:space="preserve">6. die nach § 4 Absatz 1 Satz 1 je Population und Jahr festgesetzte Höchstmenge zum Inverkehrbringen zugelassenen Saatgutes nicht überschritten ist.</w:t>
      </w:r>
    </w:p>
    <w:p>
      <w:r>
        <w:t xml:space="preserve">Für die Unterrichtung nach Satz 1 Nummer 2 sind die Vordrucke der zuständigen Behörde zu verwenden.</w:t>
      </w:r>
    </w:p>
    <w:p>
      <w:r>
        <w:t xml:space="preserve">(3) Das Höchstgewicht einer Partie, aus der jeweils eine Probe zu entnehmen ist, und das Mindestgewicht der Probe ergeben sich – abweichend von der Saatgutverordnung – aus Anhang III der Richtlinie 66/402/EWG. Im Falle von Mais gelten die für zertifiziertes Saatgut dieser Pflanzenart genannten Anforderungen des in Satz 1 genannten Anhanges. Der Erzeuger vergibt für jede Partie eine Bezugsnummer, anhand der die Partie eindeutig erkannt werden kann.</w:t>
      </w:r>
    </w:p>
    <w:p>
      <w:r>
        <w:rPr>
          <w:color w:val="555555"/>
          <w:sz w:val="17"/>
        </w:rPr>
        <w:t xml:space="preserve">Zitiervorschlag: § 3 HaGeWeMaSaatVerkV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https://recht.nulegal.eu/gesetze/HaGeWeMaSaatVerkV/3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