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HaGeWeMaSaatVerkV — Inkrafttreten, Außerkrafttreten</w:t>
      </w:r>
    </w:p>
    <w:p>
      <w:r>
        <w:rPr>
          <w:color w:val="555555"/>
          <w:sz w:val="18"/>
        </w:rPr>
        <w:t xml:space="preserve">Verordnung über das Inverkehrbringen von Saatgut von Populationen der Arten Hafer, Gerste, Weizen und Mais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Diese Verordnung tritt am Tag nach der Verkündung in Kraft und mit Ablauf des 28. Februar 2021 außer Kraft.</w:t>
      </w:r>
    </w:p>
    <w:p>
      <w:r>
        <w:rPr>
          <w:color w:val="555555"/>
          <w:sz w:val="17"/>
        </w:rPr>
        <w:t xml:space="preserve">Zitiervorschlag: § 14 HaGeWeMaSaatVerkV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https://recht.nulegal.eu/gesetze/HaGeWeMaSaatVerkV/14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