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HZvV</w:t>
      </w:r>
    </w:p>
    <w:p>
      <w:r>
        <w:rPr>
          <w:color w:val="555555"/>
          <w:sz w:val="18"/>
        </w:rPr>
        <w:t xml:space="preserve">Verordnung über die Versicherung von Arbeitnehmern in der hüttenknappschaftlichen Zusatzversicherung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der Rentenversicherung der Arbeiter oder der Rentenversicherung der Angestellten versicherten Arbeitnehmer einschließlich der zu ihrer Berufsausbildung Beschäftigten des Werkes Saarbrücken der Firma Klein, Schanzlin &amp; Becker, Aktiengesellschaft, sind in der hüttenknappschaftlichen Zusatzversicherung versichert; dies gilt nicht für Personen, die von der Versicherungspflicht in dieser Versicherung befreit sind.</w:t>
      </w:r>
    </w:p>
    <w:p>
      <w:r>
        <w:rPr>
          <w:color w:val="555555"/>
          <w:sz w:val="17"/>
        </w:rPr>
        <w:t xml:space="preserve">Zitiervorschlag: § 1 HZvV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https://recht.nulegal.eu/gesetze/HZvV/1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