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HZvV 7</w:t>
      </w:r>
    </w:p>
    <w:p>
      <w:r>
        <w:rPr>
          <w:color w:val="555555"/>
          <w:sz w:val="18"/>
        </w:rPr>
        <w:t xml:space="preserve">Siebte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Ausnahme des § 1 Satz 1 Nr. 2 mit Wirkung vom 15. Juni 1987 in Kraft. § 1 Satz 1 Nr. 2 tritt mit Wirkung vom 15. März 1989 in Kraft.</w:t>
      </w:r>
    </w:p>
    <w:p>
      <w:r>
        <w:rPr>
          <w:color w:val="555555"/>
          <w:sz w:val="17"/>
        </w:rPr>
        <w:t xml:space="preserve">Zitiervorschlag: § 3 HZvV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