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HZvV 3</w:t>
      </w:r>
    </w:p>
    <w:p>
      <w:r>
        <w:rPr>
          <w:color w:val="555555"/>
          <w:sz w:val="18"/>
        </w:rPr>
        <w:t xml:space="preserve">Dritte Verordnung über die Versicherung von Arbeitnehmern in der hüttenknappschaftlichen Zusatzversicherung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tritt, soweit Satz 2 nichts anderes bestimmt, mit Wirkung vom 31. Dezember 1972 in Kraft. § 1 Satz 1 Nr. 3 tritt mit Wirkung vom 22. Dezember 1977 in Kraft.</w:t>
      </w:r>
    </w:p>
    <w:p>
      <w:r>
        <w:rPr>
          <w:color w:val="555555"/>
          <w:sz w:val="17"/>
        </w:rPr>
        <w:t xml:space="preserve">Zitiervorschlag: § 3 HZvV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https://recht.nulegal.eu/gesetze/HZvV%203/3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