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HZvV 3</w:t>
      </w:r>
    </w:p>
    <w:p>
      <w:r>
        <w:rPr>
          <w:color w:val="555555"/>
          <w:sz w:val="18"/>
        </w:rPr>
        <w:t xml:space="preserve">Dritte Verordnung über die Versicherung von Arbeitnehmern in der hüttenknappschaftlichen Zusatzversicherung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der hüttenknappschaftlichen Zusatzversicherung sind pflichtversichert die in der Rentenversicherung der Arbeiter oder in der Rentenversicherung der Angestellten versicherten Arbeitnehmer einschließlich der zu ihrer Berufsausbildung Beschäftigten</w:t>
      </w:r>
    </w:p>
    <w:p>
      <w:pPr>
        <w:ind w:left="420"/>
      </w:pPr>
      <w:r>
        <w:t xml:space="preserve">1. der Firma C. und W. Kreis GmbH &amp; Co. KG, Völklingen/Saar,</w:t>
      </w:r>
    </w:p>
    <w:p>
      <w:pPr>
        <w:ind w:left="420"/>
      </w:pPr>
      <w:r>
        <w:t xml:space="preserve">2. der Firma C. und W. Kreis GmbH, Völklingen/Saar,</w:t>
      </w:r>
    </w:p>
    <w:p>
      <w:pPr>
        <w:ind w:left="420"/>
      </w:pPr>
      <w:r>
        <w:t xml:space="preserve">3. der Firma Röchling-Burbach Wohnungs- und Baubetreuungs-GmbH, Völklingen/Saar.</w:t>
      </w:r>
    </w:p>
    <w:p>
      <w:r>
        <w:t xml:space="preserve">Dies gilt nicht für Personen, die von der Versicherungspflicht in dieser Versicherung befreit sind.</w:t>
      </w:r>
    </w:p>
    <w:p>
      <w:r>
        <w:rPr>
          <w:color w:val="555555"/>
          <w:sz w:val="17"/>
        </w:rPr>
        <w:t xml:space="preserve">Zitiervorschlag: § 1 HZvV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https://recht.nulegal.eu/gesetze/HZvV%203/1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