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HZvNG — Inkrafttreten, Außerkrafttreten</w:t>
      </w:r>
    </w:p>
    <w:p>
      <w:r>
        <w:rPr>
          <w:color w:val="555555"/>
          <w:sz w:val="18"/>
        </w:rPr>
        <w:t xml:space="preserve">Hüttenknappschaftliches Zusatzversicherungs-Neuregelungs-Gesetz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1. Juli 2002 in Kraft, soweit in den folgenden Absätzen nicht etwas anderes bestimmt ist.</w:t>
      </w:r>
    </w:p>
    <w:p>
      <w:r>
        <w:t xml:space="preserve">(2) bis (6)</w:t>
      </w:r>
    </w:p>
    <w:p>
      <w:r>
        <w:t xml:space="preserve">(7) Mit Wirkung vom 1. April 2002 tritt Artikel 2 in Kraft.</w:t>
      </w:r>
    </w:p>
    <w:p>
      <w:r>
        <w:t xml:space="preserve">(8) Am Tage nach der Verkündung treten Artikel 1 § 31, Artikel 6 Nr. 8, Artikel 8 Nr. 6, 9 Buchstabe a und Nr. 10 Buchstabe a, Artikel 9 Nr. 3 und 16 hinsichtlich § 218b Abs. 3, Artikel 11 Nr. 2 Buchstabe a und Nr. 4 bis 6, Artikel 13 Nr. 2, Artikel 16 und 20 Nr. 4 Buchstabe b in Kraft.</w:t>
      </w:r>
    </w:p>
    <w:p>
      <w:r>
        <w:t xml:space="preserve">(9) bis (11)</w:t>
      </w:r>
    </w:p>
    <w:p>
      <w:r>
        <w:rPr>
          <w:color w:val="555555"/>
          <w:sz w:val="17"/>
        </w:rPr>
        <w:t xml:space="preserve">Zitiervorschlag: Art 25 HZvNG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https://recht.nulegal.eu/gesetze/HZvNG/25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