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HZvNG</w:t>
      </w:r>
    </w:p>
    <w:p>
      <w:r>
        <w:rPr>
          <w:color w:val="555555"/>
          <w:sz w:val="18"/>
        </w:rPr>
        <w:t xml:space="preserve">Hüttenknappschaftliches Zusatzversicherungs-Neuregelungs-Gesetz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HZvNG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https://recht.nulegal.eu/gesetze/HZvNG/1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