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HZvG 2002 — Rechtsweg</w:t>
      </w:r>
    </w:p>
    <w:p>
      <w:r>
        <w:rPr>
          <w:color w:val="555555"/>
          <w:sz w:val="18"/>
        </w:rPr>
        <w:t xml:space="preserve">Hüttenknappschaftliches Zusatzversicherungs-Gesetz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Öffentlich-rechtliche Streitigkeiten in Angelegenheiten dieses Gesetzes sind Streitigkeiten in Angelegenheiten der Sozialversicherung.</w:t>
      </w:r>
    </w:p>
    <w:p>
      <w:r>
        <w:rPr>
          <w:color w:val="555555"/>
          <w:sz w:val="17"/>
        </w:rPr>
        <w:t xml:space="preserve">Zitiervorschlag: § 9 HZvG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https://recht.nulegal.eu/gesetze/HZvG%202002/9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