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HZvG 2002 — Anwendung anderer Vorschriften</w:t>
      </w:r>
    </w:p>
    <w:p>
      <w:r>
        <w:rPr>
          <w:color w:val="555555"/>
          <w:sz w:val="18"/>
        </w:rPr>
        <w:t xml:space="preserve">Hüttenknappschaftliches Zusatzversicherungs-Gesetz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öffentlich-rechtlichen Rechtsbeziehungen finden die Vorschriften des Dritten Abschnitts des Ersten Buches sowie des Zehnten Buches Sozialgesetzbuch entsprechend Anwendung.</w:t>
      </w:r>
    </w:p>
    <w:p>
      <w:r>
        <w:rPr>
          <w:color w:val="555555"/>
          <w:sz w:val="17"/>
        </w:rPr>
        <w:t xml:space="preserve">Zitiervorschlag: § 8 HZvG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https://recht.nulegal.eu/gesetze/HZvG%202002/8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