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32 HZvG 2002 — Steuer- und beitragsrechtliche Behandlung der Beiträge</w:t>
      </w:r>
    </w:p>
    <w:p>
      <w:r>
        <w:rPr>
          <w:color w:val="555555"/>
          <w:sz w:val="18"/>
        </w:rPr>
        <w:t xml:space="preserve">Hüttenknappschaftliches Zusatzversicherungs-Gesetz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Beiträge im Umlageverfahren werden steuer- und beitragsrechtlich wie Beiträge zur Sozialversicherung behandelt.</w:t>
      </w:r>
    </w:p>
    <w:p>
      <w:r>
        <w:rPr>
          <w:color w:val="555555"/>
          <w:sz w:val="17"/>
        </w:rPr>
        <w:t xml:space="preserve">Zitiervorschlag: § 32 HZvG 2002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https://recht.nulegal.eu/gesetze/HZvG%202002/32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